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882921" w14:textId="77777777" w:rsidR="00C254F8" w:rsidRDefault="00C254F8">
      <w:pPr>
        <w:spacing w:after="2400"/>
      </w:pPr>
    </w:p>
    <w:p w14:paraId="009E8DC4" w14:textId="77777777" w:rsidR="00C254F8" w:rsidRDefault="00000000">
      <w:pPr>
        <w:spacing w:after="200"/>
        <w:jc w:val="center"/>
      </w:pPr>
      <w:r>
        <w:rPr>
          <w:b/>
          <w:bCs/>
          <w:color w:val="1B3A5C"/>
          <w:sz w:val="56"/>
          <w:szCs w:val="56"/>
        </w:rPr>
        <w:t>BUSINESS RESILIENCE PULSE CHECK</w:t>
      </w:r>
    </w:p>
    <w:p w14:paraId="5DB14336" w14:textId="77777777" w:rsidR="00C254F8" w:rsidRDefault="00000000">
      <w:pPr>
        <w:spacing w:after="100"/>
        <w:jc w:val="center"/>
      </w:pPr>
      <w:r>
        <w:rPr>
          <w:color w:val="2E5C8A"/>
          <w:sz w:val="28"/>
          <w:szCs w:val="28"/>
        </w:rPr>
        <w:t>PC-705</w:t>
      </w:r>
    </w:p>
    <w:p w14:paraId="746C527F" w14:textId="77777777" w:rsidR="00C254F8" w:rsidRDefault="00C254F8">
      <w:pPr>
        <w:spacing w:after="200"/>
      </w:pPr>
    </w:p>
    <w:p w14:paraId="7AA5BC4F" w14:textId="77777777" w:rsidR="00C254F8" w:rsidRDefault="00000000">
      <w:pPr>
        <w:spacing w:after="200"/>
        <w:jc w:val="center"/>
      </w:pPr>
      <w:r>
        <w:rPr>
          <w:b/>
          <w:bCs/>
          <w:color w:val="1B3A5C"/>
          <w:sz w:val="44"/>
          <w:szCs w:val="44"/>
        </w:rPr>
        <w:t>Third-Party Impacts, Law and Liability</w:t>
      </w:r>
    </w:p>
    <w:p w14:paraId="43360B60" w14:textId="77777777" w:rsidR="00C254F8" w:rsidRDefault="00000000">
      <w:pPr>
        <w:spacing w:after="200"/>
        <w:jc w:val="center"/>
      </w:pPr>
      <w:r>
        <w:rPr>
          <w:i/>
          <w:iCs/>
          <w:color w:val="2E5C8A"/>
          <w:sz w:val="24"/>
          <w:szCs w:val="24"/>
        </w:rPr>
        <w:t>Legal, insurance, and liability considerations for tabletop exercise delivery</w:t>
      </w:r>
    </w:p>
    <w:p w14:paraId="0B5F3247" w14:textId="77777777" w:rsidR="00C254F8" w:rsidRDefault="00C254F8">
      <w:pPr>
        <w:spacing w:after="600"/>
      </w:pPr>
    </w:p>
    <w:p w14:paraId="5E187D72" w14:textId="77777777" w:rsidR="00C254F8" w:rsidRDefault="00000000">
      <w:pPr>
        <w:spacing w:after="100"/>
        <w:jc w:val="center"/>
      </w:pPr>
      <w:r>
        <w:rPr>
          <w:sz w:val="22"/>
          <w:szCs w:val="22"/>
        </w:rPr>
        <w:t>Internal Operations | Version 1.0 | July 2026</w:t>
      </w:r>
    </w:p>
    <w:p w14:paraId="6C916C55" w14:textId="77777777" w:rsidR="00C254F8" w:rsidRDefault="00000000">
      <w:r>
        <w:br w:type="page"/>
      </w:r>
    </w:p>
    <w:p w14:paraId="21F5E4A1" w14:textId="77777777" w:rsidR="00C254F8" w:rsidRDefault="00C254F8">
      <w:pPr>
        <w:sectPr w:rsidR="00C254F8">
          <w:pgSz w:w="12240" w:h="15840"/>
          <w:pgMar w:top="1440" w:right="1440" w:bottom="1440" w:left="1440" w:header="708" w:footer="708" w:gutter="0"/>
          <w:cols w:space="720"/>
          <w:docGrid w:linePitch="360"/>
        </w:sectPr>
      </w:pPr>
    </w:p>
    <w:p w14:paraId="7150AFC1" w14:textId="77777777" w:rsidR="00C254F8" w:rsidRDefault="00000000">
      <w:pPr>
        <w:spacing w:before="360" w:after="200"/>
      </w:pPr>
      <w:r>
        <w:rPr>
          <w:b/>
          <w:bCs/>
          <w:color w:val="1B3A5C"/>
          <w:sz w:val="48"/>
          <w:szCs w:val="48"/>
        </w:rPr>
        <w:lastRenderedPageBreak/>
        <w:t>Section 1: Purpose and Scope</w:t>
      </w:r>
    </w:p>
    <w:p w14:paraId="3F7372F4" w14:textId="77777777" w:rsidR="00C254F8" w:rsidRDefault="00000000">
      <w:pPr>
        <w:spacing w:after="160" w:line="276" w:lineRule="auto"/>
      </w:pPr>
      <w:r>
        <w:t xml:space="preserve">This document addresses the legal, insurance, and liability dimensions of delivering tabletop exercises as a third-party service provider. It is written for MSPs, MSSPs, and </w:t>
      </w:r>
      <w:proofErr w:type="spellStart"/>
      <w:r>
        <w:t>vCISOs</w:t>
      </w:r>
      <w:proofErr w:type="spellEnd"/>
      <w:r>
        <w:t xml:space="preserve"> who deliver Pulse Check engagements to clients they do not employ.</w:t>
      </w:r>
    </w:p>
    <w:p w14:paraId="4B0DCD96" w14:textId="77777777" w:rsidR="00C254F8" w:rsidRDefault="00000000">
      <w:pPr>
        <w:spacing w:after="160" w:line="276" w:lineRule="auto"/>
      </w:pPr>
      <w:r>
        <w:t xml:space="preserve">When you facilitate a tabletop exercise and write an AAR, you are creating a documented record of an organization's security gaps, response capabilities, and decision-making under pressure. That record has consequences beyond </w:t>
      </w:r>
      <w:proofErr w:type="gramStart"/>
      <w:r>
        <w:t>the immediate</w:t>
      </w:r>
      <w:proofErr w:type="gramEnd"/>
      <w:r>
        <w:t xml:space="preserve"> engagement: it can affect insurance coverage, create discoverable evidence in litigation, and interact with legal privilege in ways that surprise practitioners who haven't considered them.</w:t>
      </w:r>
    </w:p>
    <w:p w14:paraId="6B94D040" w14:textId="77777777" w:rsidR="00C254F8" w:rsidRDefault="00000000">
      <w:pPr>
        <w:spacing w:after="160" w:line="276" w:lineRule="auto"/>
      </w:pPr>
      <w:r>
        <w:t>This document does not replace legal counsel. It helps you understand when and why to involve legal counsel, and how to structure your engagements to protect both your clients and your practice.</w:t>
      </w:r>
    </w:p>
    <w:p w14:paraId="47062282" w14:textId="77777777" w:rsidR="00C254F8" w:rsidRDefault="00000000">
      <w:r>
        <w:br w:type="page"/>
      </w:r>
    </w:p>
    <w:p w14:paraId="5166A76C" w14:textId="77777777" w:rsidR="00C254F8" w:rsidRDefault="00000000">
      <w:pPr>
        <w:spacing w:before="360" w:after="200"/>
      </w:pPr>
      <w:r>
        <w:rPr>
          <w:b/>
          <w:bCs/>
          <w:color w:val="1B3A5C"/>
          <w:sz w:val="48"/>
          <w:szCs w:val="48"/>
        </w:rPr>
        <w:lastRenderedPageBreak/>
        <w:t>Section 2: Insurance Context</w:t>
      </w:r>
    </w:p>
    <w:p w14:paraId="6A31BE09" w14:textId="77777777" w:rsidR="00C254F8" w:rsidRDefault="00000000">
      <w:pPr>
        <w:spacing w:before="280" w:after="160"/>
      </w:pPr>
      <w:r>
        <w:rPr>
          <w:b/>
          <w:bCs/>
          <w:color w:val="2E5C8A"/>
          <w:sz w:val="26"/>
          <w:szCs w:val="26"/>
        </w:rPr>
        <w:t>2.1 What Underwriters Care About</w:t>
      </w:r>
    </w:p>
    <w:p w14:paraId="11545D61" w14:textId="77777777" w:rsidR="00C254F8" w:rsidRDefault="00000000">
      <w:pPr>
        <w:spacing w:after="160" w:line="276" w:lineRule="auto"/>
      </w:pPr>
      <w:r>
        <w:t>Cyber insurance underwriters evaluate whether an organization has tested its incident response capabilities. A completed Pulse Check directly answers several common application questions: "Has the organization conducted a tabletop exercise in the past 12 months?" "Does the organization have a documented incident response plan?" "Has the incident response plan been tested?"</w:t>
      </w:r>
    </w:p>
    <w:p w14:paraId="6C8EFA3F" w14:textId="77777777" w:rsidR="00C254F8" w:rsidRDefault="00000000">
      <w:pPr>
        <w:spacing w:after="160" w:line="276" w:lineRule="auto"/>
      </w:pPr>
      <w:proofErr w:type="gramStart"/>
      <w:r>
        <w:t>The exercise</w:t>
      </w:r>
      <w:proofErr w:type="gramEnd"/>
      <w:r>
        <w:t xml:space="preserve"> itself is the evidence. The AAR documents what was tested and what was found. When positioning Pulse Check to clients, the insurance value is concrete: it moves those application answers from "no" or "partially" to "yes, and here's the documentation."</w:t>
      </w:r>
    </w:p>
    <w:p w14:paraId="442342F0" w14:textId="77777777" w:rsidR="00C254F8" w:rsidRDefault="00000000">
      <w:pPr>
        <w:spacing w:before="280" w:after="160"/>
      </w:pPr>
      <w:r>
        <w:rPr>
          <w:b/>
          <w:bCs/>
          <w:color w:val="2E5C8A"/>
          <w:sz w:val="26"/>
          <w:szCs w:val="26"/>
        </w:rPr>
        <w:t>2.2 Timing to the Policy Cycle</w:t>
      </w:r>
    </w:p>
    <w:p w14:paraId="17CBDB5D" w14:textId="77777777" w:rsidR="00C254F8" w:rsidRDefault="00000000">
      <w:pPr>
        <w:spacing w:after="160" w:line="276" w:lineRule="auto"/>
      </w:pPr>
      <w:r>
        <w:t>The strongest insurance positioning ties the exercise to the client's policy renewal. Exercises completed 60 to 90 days before renewal give the client time to implement high-priority remediation items before the underwriter reviews. Exercises completed after binding provide compliance documentation but miss the renewal pricing opportunity.</w:t>
      </w:r>
    </w:p>
    <w:p w14:paraId="02AB4107" w14:textId="77777777" w:rsidR="00C254F8" w:rsidRDefault="00000000">
      <w:pPr>
        <w:spacing w:after="160" w:line="276" w:lineRule="auto"/>
      </w:pPr>
      <w:r>
        <w:t xml:space="preserve">Ask the client during intake: "When does your cyber insurance policy renew?" If they don't know, that's a </w:t>
      </w:r>
      <w:proofErr w:type="gramStart"/>
      <w:r>
        <w:t>finding in itself</w:t>
      </w:r>
      <w:proofErr w:type="gramEnd"/>
      <w:r>
        <w:t xml:space="preserve"> (add it to the AAR under governance).</w:t>
      </w:r>
    </w:p>
    <w:p w14:paraId="7EEA4C88" w14:textId="77777777" w:rsidR="00C254F8" w:rsidRDefault="00000000">
      <w:pPr>
        <w:spacing w:before="280" w:after="160"/>
      </w:pPr>
      <w:r>
        <w:rPr>
          <w:b/>
          <w:bCs/>
          <w:color w:val="2E5C8A"/>
          <w:sz w:val="26"/>
          <w:szCs w:val="26"/>
        </w:rPr>
        <w:t>2.3 Attestation vs. Documentation</w:t>
      </w:r>
    </w:p>
    <w:p w14:paraId="7D86F6F0" w14:textId="77777777" w:rsidR="00C254F8" w:rsidRDefault="00000000">
      <w:pPr>
        <w:spacing w:after="160" w:line="276" w:lineRule="auto"/>
      </w:pPr>
      <w:r>
        <w:t xml:space="preserve">An attestation </w:t>
      </w:r>
      <w:proofErr w:type="gramStart"/>
      <w:r>
        <w:t>says</w:t>
      </w:r>
      <w:proofErr w:type="gramEnd"/>
      <w:r>
        <w:t xml:space="preserve"> "we did this." Documentation proves how. Underwriters increasingly want documentation, not just attestation. The Pulse Check AAR (with the Compliance Evidence Package) provides documentation: what was tested, who participated, what was found, and what remediation was recommended.</w:t>
      </w:r>
    </w:p>
    <w:p w14:paraId="3DBC5DEF" w14:textId="77777777" w:rsidR="00C254F8" w:rsidRDefault="00000000">
      <w:pPr>
        <w:spacing w:after="160" w:line="276" w:lineRule="auto"/>
      </w:pPr>
      <w:r>
        <w:t>The distinction matters during claims. An attestation that the organization "tested its incident response plan" won't survive scrutiny if the testing was informal or undocumented. A calibrated AAR with severity-rated findings and framework mappings will.</w:t>
      </w:r>
    </w:p>
    <w:p w14:paraId="7E6C6054" w14:textId="77777777" w:rsidR="00C254F8" w:rsidRDefault="00000000">
      <w:pPr>
        <w:spacing w:before="280" w:after="160"/>
      </w:pPr>
      <w:r>
        <w:rPr>
          <w:b/>
          <w:bCs/>
          <w:color w:val="2E5C8A"/>
          <w:sz w:val="26"/>
          <w:szCs w:val="26"/>
        </w:rPr>
        <w:t>2.4 The Remediation-as-Coverage-Condition Risk</w:t>
      </w:r>
    </w:p>
    <w:p w14:paraId="1EB873CC" w14:textId="77777777" w:rsidR="00C254F8" w:rsidRDefault="00000000">
      <w:pPr>
        <w:spacing w:after="160" w:line="276" w:lineRule="auto"/>
      </w:pPr>
      <w:r>
        <w:t xml:space="preserve">This is the risk that most practitioners overlook. When your AAR documents a Critical or High severity finding with a specific remediation timeline (0-30 days for Critical, 30-60 days for High), and the client does not remediate within that window, you have created a documented gap between what the organization knows it should do and what it </w:t>
      </w:r>
      <w:proofErr w:type="gramStart"/>
      <w:r>
        <w:t>actually did</w:t>
      </w:r>
      <w:proofErr w:type="gramEnd"/>
      <w:r>
        <w:t>.</w:t>
      </w:r>
    </w:p>
    <w:p w14:paraId="253F2790" w14:textId="77777777" w:rsidR="00C254F8" w:rsidRDefault="00000000">
      <w:pPr>
        <w:spacing w:after="160" w:line="276" w:lineRule="auto"/>
      </w:pPr>
      <w:r>
        <w:t>If a breach occurs through the exact vulnerability your exercise identified, and the remediation was not completed, the insurer has documented evidence that the organization was aware of the risk and chose not to address it in the recommended timeframe. This can affect coverage.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9360"/>
      </w:tblGrid>
      <w:tr w:rsidR="00C254F8" w14:paraId="058F154A" w14:textId="77777777">
        <w:tblPrEx>
          <w:tblCellMar>
            <w:top w:w="0" w:type="dxa"/>
            <w:bottom w:w="0" w:type="dxa"/>
          </w:tblCellMar>
        </w:tblPrEx>
        <w:tc>
          <w:tcPr>
            <w:tcW w:w="9360" w:type="dxa"/>
            <w:tcBorders>
              <w:top w:val="single" w:sz="6" w:space="0" w:color="C62828"/>
              <w:bottom w:val="single" w:sz="6" w:space="0" w:color="C62828"/>
            </w:tcBorders>
            <w:shd w:val="clear" w:color="auto" w:fill="FFF2F2"/>
          </w:tcPr>
          <w:p w14:paraId="02DD799C" w14:textId="77777777" w:rsidR="00C254F8" w:rsidRDefault="00000000">
            <w:pPr>
              <w:spacing w:before="120" w:after="120"/>
              <w:ind w:left="120"/>
            </w:pPr>
            <w:r>
              <w:rPr>
                <w:b/>
                <w:bCs/>
                <w:color w:val="C62828"/>
              </w:rPr>
              <w:t xml:space="preserve">CONSULT LEGAL COUNSEL: </w:t>
            </w:r>
            <w:r>
              <w:rPr>
                <w:color w:val="C62828"/>
              </w:rPr>
              <w:t>This is not hypothetical. Claims adjusters routinely review prior assessments, audit reports, and exercise documentation during claims investigations. Discuss remediation tracking and follow-up obligations with legal counsel before establishing your standard engagement terms.</w:t>
            </w:r>
          </w:p>
        </w:tc>
      </w:tr>
    </w:tbl>
    <w:p w14:paraId="5D307387" w14:textId="77777777" w:rsidR="00C254F8" w:rsidRDefault="00C254F8">
      <w:pPr>
        <w:spacing w:after="100"/>
      </w:pPr>
    </w:p>
    <w:p w14:paraId="26CCE2FE" w14:textId="77777777" w:rsidR="00C254F8" w:rsidRDefault="00000000">
      <w:pPr>
        <w:spacing w:after="160" w:line="276" w:lineRule="auto"/>
      </w:pPr>
      <w:r>
        <w:t>What this means for your practice: your engagement terms and AAR delivery process should account for this. The Annual Renewal Proposal exists partly to create a structured follow-up mechanism. Consider whether your SOW should address what happens when remediation is not completed, and whether you have any obligation to follow up.</w:t>
      </w:r>
    </w:p>
    <w:p w14:paraId="1D2CF67A" w14:textId="77777777" w:rsidR="00C254F8" w:rsidRDefault="00000000">
      <w:r>
        <w:br w:type="page"/>
      </w:r>
    </w:p>
    <w:p w14:paraId="60F875BE" w14:textId="77777777" w:rsidR="00C254F8" w:rsidRDefault="00000000">
      <w:pPr>
        <w:spacing w:before="360" w:after="200"/>
      </w:pPr>
      <w:r>
        <w:rPr>
          <w:b/>
          <w:bCs/>
          <w:color w:val="1B3A5C"/>
          <w:sz w:val="48"/>
          <w:szCs w:val="48"/>
        </w:rPr>
        <w:lastRenderedPageBreak/>
        <w:t>Section 3: Privilege Considerations</w:t>
      </w:r>
    </w:p>
    <w:p w14:paraId="36C9E88B" w14:textId="77777777" w:rsidR="00C254F8" w:rsidRDefault="00000000">
      <w:pPr>
        <w:spacing w:before="280" w:after="160"/>
      </w:pPr>
      <w:r>
        <w:rPr>
          <w:b/>
          <w:bCs/>
          <w:color w:val="2E5C8A"/>
          <w:sz w:val="26"/>
          <w:szCs w:val="26"/>
        </w:rPr>
        <w:t>3.1 What Attorney-Client Privilege Means for Exercise Documentation</w:t>
      </w:r>
    </w:p>
    <w:p w14:paraId="7AEAF343" w14:textId="77777777" w:rsidR="00C254F8" w:rsidRDefault="00000000">
      <w:pPr>
        <w:spacing w:after="160" w:line="276" w:lineRule="auto"/>
      </w:pPr>
      <w:r>
        <w:t>Attorney-client privilege protects communications made for the purpose of obtaining legal advice from disclosure in litigation. It can extend to tabletop exercise documentation if the exercise is conducted at the direction of legal counsel, for the purpose of informing legal advice.</w:t>
      </w:r>
    </w:p>
    <w:p w14:paraId="22833838" w14:textId="77777777" w:rsidR="00C254F8" w:rsidRDefault="00000000">
      <w:pPr>
        <w:spacing w:after="160" w:line="276" w:lineRule="auto"/>
      </w:pPr>
      <w:r>
        <w:t xml:space="preserve">The operative phrase is "at the direction of." A tabletop exercise that an MSP sells to a </w:t>
      </w:r>
      <w:proofErr w:type="gramStart"/>
      <w:r>
        <w:t>client,</w:t>
      </w:r>
      <w:proofErr w:type="gramEnd"/>
      <w:r>
        <w:t xml:space="preserve"> facilitates independently, and reports on directly to IT leadership is almost certainly not privileged. The same exercise, requested by outside counsel as part of incident preparedness legal advice, might be.</w:t>
      </w:r>
    </w:p>
    <w:p w14:paraId="1F107EF5" w14:textId="77777777" w:rsidR="00C254F8" w:rsidRDefault="00000000">
      <w:pPr>
        <w:spacing w:before="280" w:after="160"/>
      </w:pPr>
      <w:r>
        <w:rPr>
          <w:b/>
          <w:bCs/>
          <w:color w:val="2E5C8A"/>
          <w:sz w:val="26"/>
          <w:szCs w:val="26"/>
        </w:rPr>
        <w:t>3.2 When Privilege Matters</w:t>
      </w:r>
    </w:p>
    <w:p w14:paraId="56E342D6" w14:textId="77777777" w:rsidR="00C254F8" w:rsidRDefault="00000000">
      <w:pPr>
        <w:spacing w:after="160" w:line="276" w:lineRule="auto"/>
      </w:pPr>
      <w:r>
        <w:t>Privilege matters most when the exercise documentation could be used against the organization in litigation. Scenarios where this is relevant include: the organization is in a regulated industry and the exercise reveals compliance gaps that could trigger regulatory action; the organization has experienced a prior breach and the exercise reveals that remediation from that breach was incomplete; the exercise occurs during active or anticipated litigation; the organization operates in a jurisdiction where exercise findings could be discoverable in shareholder, consumer, or regulatory actions.</w:t>
      </w:r>
    </w:p>
    <w:p w14:paraId="6787F0AB" w14:textId="77777777" w:rsidR="00C254F8" w:rsidRDefault="00000000">
      <w:pPr>
        <w:spacing w:after="160" w:line="276" w:lineRule="auto"/>
      </w:pPr>
      <w:r>
        <w:t>For most small and mid-market organizations (the typical Pulse Check client), privilege is not the primary concern. But for clients with regulatory exposure, prior breach history, or active litigation, it can be.</w:t>
      </w:r>
    </w:p>
    <w:p w14:paraId="38263871" w14:textId="77777777" w:rsidR="00ED6E28" w:rsidRDefault="00ED6E28">
      <w:pPr>
        <w:rPr>
          <w:b/>
          <w:bCs/>
          <w:color w:val="2E5C8A"/>
          <w:sz w:val="26"/>
          <w:szCs w:val="26"/>
        </w:rPr>
      </w:pPr>
      <w:r>
        <w:rPr>
          <w:b/>
          <w:bCs/>
          <w:color w:val="2E5C8A"/>
          <w:sz w:val="26"/>
          <w:szCs w:val="26"/>
        </w:rPr>
        <w:br w:type="page"/>
      </w:r>
    </w:p>
    <w:p w14:paraId="6528C3A9" w14:textId="5E81E475" w:rsidR="00C254F8" w:rsidRDefault="00000000">
      <w:pPr>
        <w:spacing w:before="280" w:after="160"/>
      </w:pPr>
      <w:r>
        <w:rPr>
          <w:b/>
          <w:bCs/>
          <w:color w:val="2E5C8A"/>
          <w:sz w:val="26"/>
          <w:szCs w:val="26"/>
        </w:rPr>
        <w:lastRenderedPageBreak/>
        <w:t>3.3 The Privilege Decision Tree</w:t>
      </w:r>
    </w:p>
    <w:p w14:paraId="67E707AE" w14:textId="77777777" w:rsidR="00C254F8" w:rsidRDefault="00C254F8">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800"/>
        <w:gridCol w:w="3280"/>
        <w:gridCol w:w="3280"/>
      </w:tblGrid>
      <w:tr w:rsidR="00C254F8" w14:paraId="5D099AA8" w14:textId="77777777">
        <w:tblPrEx>
          <w:tblCellMar>
            <w:top w:w="0" w:type="dxa"/>
            <w:bottom w:w="0" w:type="dxa"/>
          </w:tblCellMar>
        </w:tblPrEx>
        <w:tc>
          <w:tcPr>
            <w:tcW w:w="2800" w:type="dxa"/>
            <w:shd w:val="clear" w:color="auto" w:fill="1B3A5C"/>
            <w:vAlign w:val="center"/>
          </w:tcPr>
          <w:p w14:paraId="251E7D86" w14:textId="77777777" w:rsidR="00C254F8" w:rsidRDefault="00000000">
            <w:pPr>
              <w:spacing w:before="60" w:after="60"/>
            </w:pPr>
            <w:r>
              <w:rPr>
                <w:b/>
                <w:bCs/>
                <w:color w:val="FFFFFF"/>
              </w:rPr>
              <w:t>Question</w:t>
            </w:r>
          </w:p>
        </w:tc>
        <w:tc>
          <w:tcPr>
            <w:tcW w:w="3280" w:type="dxa"/>
            <w:shd w:val="clear" w:color="auto" w:fill="1B3A5C"/>
            <w:vAlign w:val="center"/>
          </w:tcPr>
          <w:p w14:paraId="1DC232F5" w14:textId="77777777" w:rsidR="00C254F8" w:rsidRDefault="00000000">
            <w:pPr>
              <w:spacing w:before="60" w:after="60"/>
            </w:pPr>
            <w:r>
              <w:rPr>
                <w:b/>
                <w:bCs/>
                <w:color w:val="FFFFFF"/>
              </w:rPr>
              <w:t xml:space="preserve">If </w:t>
            </w:r>
            <w:proofErr w:type="gramStart"/>
            <w:r>
              <w:rPr>
                <w:b/>
                <w:bCs/>
                <w:color w:val="FFFFFF"/>
              </w:rPr>
              <w:t>Yes</w:t>
            </w:r>
            <w:proofErr w:type="gramEnd"/>
          </w:p>
        </w:tc>
        <w:tc>
          <w:tcPr>
            <w:tcW w:w="3280" w:type="dxa"/>
            <w:shd w:val="clear" w:color="auto" w:fill="1B3A5C"/>
            <w:vAlign w:val="center"/>
          </w:tcPr>
          <w:p w14:paraId="3E299A1A" w14:textId="77777777" w:rsidR="00C254F8" w:rsidRDefault="00000000">
            <w:pPr>
              <w:spacing w:before="60" w:after="60"/>
            </w:pPr>
            <w:r>
              <w:rPr>
                <w:b/>
                <w:bCs/>
                <w:color w:val="FFFFFF"/>
              </w:rPr>
              <w:t>If No</w:t>
            </w:r>
          </w:p>
        </w:tc>
      </w:tr>
      <w:tr w:rsidR="00C254F8" w14:paraId="4F7458DC" w14:textId="77777777">
        <w:tblPrEx>
          <w:tblCellMar>
            <w:top w:w="0" w:type="dxa"/>
            <w:bottom w:w="0" w:type="dxa"/>
          </w:tblCellMar>
        </w:tblPrEx>
        <w:tc>
          <w:tcPr>
            <w:tcW w:w="2800" w:type="dxa"/>
            <w:shd w:val="clear" w:color="auto" w:fill="FFFFFF"/>
          </w:tcPr>
          <w:p w14:paraId="547EF63F" w14:textId="77777777" w:rsidR="00C254F8" w:rsidRDefault="00000000">
            <w:pPr>
              <w:spacing w:before="60" w:after="60"/>
            </w:pPr>
            <w:r>
              <w:t>Is the client in a regulated industry (healthcare, financial services, government contracting)?</w:t>
            </w:r>
          </w:p>
        </w:tc>
        <w:tc>
          <w:tcPr>
            <w:tcW w:w="3280" w:type="dxa"/>
            <w:shd w:val="clear" w:color="auto" w:fill="FFFFFF"/>
          </w:tcPr>
          <w:p w14:paraId="25B9B936" w14:textId="77777777" w:rsidR="00C254F8" w:rsidRDefault="00000000">
            <w:pPr>
              <w:spacing w:before="60" w:after="60"/>
            </w:pPr>
            <w:r>
              <w:t>Discuss privilege with the client before the engagement. Suggest they consult counsel.</w:t>
            </w:r>
          </w:p>
        </w:tc>
        <w:tc>
          <w:tcPr>
            <w:tcW w:w="3280" w:type="dxa"/>
            <w:shd w:val="clear" w:color="auto" w:fill="FFFFFF"/>
          </w:tcPr>
          <w:p w14:paraId="61031CCA" w14:textId="77777777" w:rsidR="00C254F8" w:rsidRDefault="00000000">
            <w:pPr>
              <w:spacing w:before="60" w:after="60"/>
            </w:pPr>
            <w:r>
              <w:t xml:space="preserve">Proceed </w:t>
            </w:r>
            <w:proofErr w:type="gramStart"/>
            <w:r>
              <w:t>normally, but</w:t>
            </w:r>
            <w:proofErr w:type="gramEnd"/>
            <w:r>
              <w:t xml:space="preserve"> mention privilege in your engagement kickoff as something to be aware of.</w:t>
            </w:r>
          </w:p>
        </w:tc>
      </w:tr>
      <w:tr w:rsidR="00C254F8" w14:paraId="5A82C464" w14:textId="77777777">
        <w:tblPrEx>
          <w:tblCellMar>
            <w:top w:w="0" w:type="dxa"/>
            <w:bottom w:w="0" w:type="dxa"/>
          </w:tblCellMar>
        </w:tblPrEx>
        <w:tc>
          <w:tcPr>
            <w:tcW w:w="2800" w:type="dxa"/>
            <w:shd w:val="clear" w:color="auto" w:fill="F5F5F5"/>
          </w:tcPr>
          <w:p w14:paraId="3D81C3D8" w14:textId="77777777" w:rsidR="00C254F8" w:rsidRDefault="00000000">
            <w:pPr>
              <w:spacing w:before="60" w:after="60"/>
            </w:pPr>
            <w:r>
              <w:t>Has the client experienced a breach in the past 24 months?</w:t>
            </w:r>
          </w:p>
        </w:tc>
        <w:tc>
          <w:tcPr>
            <w:tcW w:w="3280" w:type="dxa"/>
            <w:shd w:val="clear" w:color="auto" w:fill="F5F5F5"/>
          </w:tcPr>
          <w:p w14:paraId="3642F9BB" w14:textId="77777777" w:rsidR="00C254F8" w:rsidRDefault="00000000">
            <w:pPr>
              <w:spacing w:before="60" w:after="60"/>
            </w:pPr>
            <w:r>
              <w:t>Strongly recommend the engagement be structured under counsel direction. Prior breach + documented new gaps = elevated litigation risk.</w:t>
            </w:r>
          </w:p>
        </w:tc>
        <w:tc>
          <w:tcPr>
            <w:tcW w:w="3280" w:type="dxa"/>
            <w:shd w:val="clear" w:color="auto" w:fill="F5F5F5"/>
          </w:tcPr>
          <w:p w14:paraId="4273409E" w14:textId="77777777" w:rsidR="00C254F8" w:rsidRDefault="00000000">
            <w:pPr>
              <w:spacing w:before="60" w:after="60"/>
            </w:pPr>
            <w:r>
              <w:t>Standard engagement terms are likely sufficient.</w:t>
            </w:r>
          </w:p>
        </w:tc>
      </w:tr>
      <w:tr w:rsidR="00C254F8" w14:paraId="65828AA0" w14:textId="77777777">
        <w:tblPrEx>
          <w:tblCellMar>
            <w:top w:w="0" w:type="dxa"/>
            <w:bottom w:w="0" w:type="dxa"/>
          </w:tblCellMar>
        </w:tblPrEx>
        <w:tc>
          <w:tcPr>
            <w:tcW w:w="2800" w:type="dxa"/>
            <w:shd w:val="clear" w:color="auto" w:fill="FFFFFF"/>
          </w:tcPr>
          <w:p w14:paraId="65B505BF" w14:textId="77777777" w:rsidR="00C254F8" w:rsidRDefault="00000000">
            <w:pPr>
              <w:spacing w:before="60" w:after="60"/>
            </w:pPr>
            <w:r>
              <w:t>Is the client currently involved in or anticipating litigation related to cybersecurity?</w:t>
            </w:r>
          </w:p>
        </w:tc>
        <w:tc>
          <w:tcPr>
            <w:tcW w:w="3280" w:type="dxa"/>
            <w:shd w:val="clear" w:color="auto" w:fill="FFFFFF"/>
          </w:tcPr>
          <w:p w14:paraId="6CAA4CEC" w14:textId="77777777" w:rsidR="00C254F8" w:rsidRDefault="00000000">
            <w:pPr>
              <w:spacing w:before="60" w:after="60"/>
            </w:pPr>
            <w:r>
              <w:t>Do not proceed without outside counsel direction. Exercise documentation created during active litigation without privilege protection is almost certainly discoverable.</w:t>
            </w:r>
          </w:p>
        </w:tc>
        <w:tc>
          <w:tcPr>
            <w:tcW w:w="3280" w:type="dxa"/>
            <w:shd w:val="clear" w:color="auto" w:fill="FFFFFF"/>
          </w:tcPr>
          <w:p w14:paraId="5C55E016" w14:textId="77777777" w:rsidR="00C254F8" w:rsidRDefault="00000000">
            <w:pPr>
              <w:spacing w:before="60" w:after="60"/>
            </w:pPr>
            <w:r>
              <w:t>Standard engagement terms are likely sufficient.</w:t>
            </w:r>
          </w:p>
        </w:tc>
      </w:tr>
      <w:tr w:rsidR="00C254F8" w14:paraId="49121C35" w14:textId="77777777">
        <w:tblPrEx>
          <w:tblCellMar>
            <w:top w:w="0" w:type="dxa"/>
            <w:bottom w:w="0" w:type="dxa"/>
          </w:tblCellMar>
        </w:tblPrEx>
        <w:tc>
          <w:tcPr>
            <w:tcW w:w="2800" w:type="dxa"/>
            <w:shd w:val="clear" w:color="auto" w:fill="F5F5F5"/>
          </w:tcPr>
          <w:p w14:paraId="5C0D05C6" w14:textId="77777777" w:rsidR="00C254F8" w:rsidRDefault="00000000">
            <w:pPr>
              <w:spacing w:before="60" w:after="60"/>
            </w:pPr>
            <w:r>
              <w:t>Does the client want the exercise findings to be privileged?</w:t>
            </w:r>
          </w:p>
        </w:tc>
        <w:tc>
          <w:tcPr>
            <w:tcW w:w="3280" w:type="dxa"/>
            <w:shd w:val="clear" w:color="auto" w:fill="F5F5F5"/>
          </w:tcPr>
          <w:p w14:paraId="7AA35B1C" w14:textId="77777777" w:rsidR="00C254F8" w:rsidRDefault="00000000">
            <w:pPr>
              <w:spacing w:before="60" w:after="60"/>
            </w:pPr>
            <w:r>
              <w:t>The engagement must be directed by outside counsel. You (the facilitator) would be engaged by counsel, not directly by the client. The AAR would be delivered to counsel, not to IT. This changes the engagement structure significantly.</w:t>
            </w:r>
          </w:p>
        </w:tc>
        <w:tc>
          <w:tcPr>
            <w:tcW w:w="3280" w:type="dxa"/>
            <w:shd w:val="clear" w:color="auto" w:fill="F5F5F5"/>
          </w:tcPr>
          <w:p w14:paraId="67EB4DBC" w14:textId="77777777" w:rsidR="00C254F8" w:rsidRDefault="00000000">
            <w:pPr>
              <w:spacing w:before="60" w:after="60"/>
            </w:pPr>
            <w:r>
              <w:t>Proceed with standard engagement. Document the client's decision in your engagement records.</w:t>
            </w:r>
          </w:p>
        </w:tc>
      </w:tr>
    </w:tbl>
    <w:p w14:paraId="56D10135" w14:textId="77777777" w:rsidR="00C254F8" w:rsidRDefault="00C254F8">
      <w:pPr>
        <w:spacing w:after="100"/>
      </w:pPr>
    </w:p>
    <w:p w14:paraId="2B2833EF" w14:textId="77777777" w:rsidR="00C254F8" w:rsidRDefault="00000000">
      <w:pPr>
        <w:spacing w:before="280" w:after="160"/>
      </w:pPr>
      <w:r>
        <w:rPr>
          <w:b/>
          <w:bCs/>
          <w:color w:val="2E5C8A"/>
          <w:sz w:val="26"/>
          <w:szCs w:val="26"/>
        </w:rPr>
        <w:t>3.4 How Privilege Changes Document Handling</w:t>
      </w:r>
    </w:p>
    <w:p w14:paraId="405D1DF5" w14:textId="77777777" w:rsidR="00C254F8" w:rsidRDefault="00000000">
      <w:pPr>
        <w:spacing w:after="160" w:line="276" w:lineRule="auto"/>
      </w:pPr>
      <w:r>
        <w:t xml:space="preserve">If an engagement is structured under privilege, several things change. The engagement letter comes from (or is directed by) outside counsel. The AAR is addressed to counsel, not to the client's IT or security team. Distribution is controlled by counsel. The facilitator may need to be designated as a consultant to counsel. Exercise materials, notes, and drafts are treated as attorney work </w:t>
      </w:r>
      <w:proofErr w:type="gramStart"/>
      <w:r>
        <w:t>product</w:t>
      </w:r>
      <w:proofErr w:type="gramEnd"/>
      <w:r>
        <w:t>.</w:t>
      </w:r>
    </w:p>
    <w:p w14:paraId="4F531A71" w14:textId="77777777" w:rsidR="00C254F8" w:rsidRDefault="00000000">
      <w:pPr>
        <w:spacing w:after="160" w:line="276" w:lineRule="auto"/>
      </w:pPr>
      <w:r>
        <w:t>Most Pulse Check engagements will not be structured this way. But you need to understand the option so you can advise clients who ask about it.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9360"/>
      </w:tblGrid>
      <w:tr w:rsidR="00C254F8" w14:paraId="6A839E97" w14:textId="77777777">
        <w:tblPrEx>
          <w:tblCellMar>
            <w:top w:w="0" w:type="dxa"/>
            <w:bottom w:w="0" w:type="dxa"/>
          </w:tblCellMar>
        </w:tblPrEx>
        <w:tc>
          <w:tcPr>
            <w:tcW w:w="9360" w:type="dxa"/>
            <w:tcBorders>
              <w:top w:val="single" w:sz="6" w:space="0" w:color="C62828"/>
              <w:bottom w:val="single" w:sz="6" w:space="0" w:color="C62828"/>
            </w:tcBorders>
            <w:shd w:val="clear" w:color="auto" w:fill="FFF2F2"/>
          </w:tcPr>
          <w:p w14:paraId="422A441B" w14:textId="77777777" w:rsidR="00C254F8" w:rsidRDefault="00000000">
            <w:pPr>
              <w:spacing w:before="120" w:after="120"/>
              <w:ind w:left="120"/>
            </w:pPr>
            <w:r>
              <w:rPr>
                <w:b/>
                <w:bCs/>
                <w:color w:val="C62828"/>
              </w:rPr>
              <w:t xml:space="preserve">CONSULT LEGAL COUNSEL: </w:t>
            </w:r>
            <w:r>
              <w:rPr>
                <w:color w:val="C62828"/>
              </w:rPr>
              <w:t>Privilege is jurisdiction-specific and fact-dependent. The guidance above is general. If a client asks about structuring an engagement under privilege, the correct answer is always "let's involve your counsel to structure this properly," never "I can handle that."</w:t>
            </w:r>
          </w:p>
        </w:tc>
      </w:tr>
    </w:tbl>
    <w:p w14:paraId="5667FE71" w14:textId="77777777" w:rsidR="00C254F8" w:rsidRDefault="00000000">
      <w:r>
        <w:br w:type="page"/>
      </w:r>
    </w:p>
    <w:p w14:paraId="6E990AFE" w14:textId="77777777" w:rsidR="00C254F8" w:rsidRDefault="00000000">
      <w:pPr>
        <w:spacing w:before="360" w:after="200"/>
      </w:pPr>
      <w:r>
        <w:rPr>
          <w:b/>
          <w:bCs/>
          <w:color w:val="1B3A5C"/>
          <w:sz w:val="48"/>
          <w:szCs w:val="48"/>
        </w:rPr>
        <w:lastRenderedPageBreak/>
        <w:t>Section 4: Discoverable Evidence and Litigation Risk</w:t>
      </w:r>
    </w:p>
    <w:p w14:paraId="0047993B" w14:textId="77777777" w:rsidR="00C254F8" w:rsidRDefault="00000000">
      <w:pPr>
        <w:spacing w:before="280" w:after="160"/>
      </w:pPr>
      <w:r>
        <w:rPr>
          <w:b/>
          <w:bCs/>
          <w:color w:val="2E5C8A"/>
          <w:sz w:val="26"/>
          <w:szCs w:val="26"/>
        </w:rPr>
        <w:t>4.1 What "Discoverable" Means</w:t>
      </w:r>
    </w:p>
    <w:p w14:paraId="55CE0FB9" w14:textId="77777777" w:rsidR="00C254F8" w:rsidRDefault="00000000">
      <w:pPr>
        <w:spacing w:after="160" w:line="276" w:lineRule="auto"/>
      </w:pPr>
      <w:r>
        <w:t>In litigation (lawsuits, regulatory investigations, insurance disputes), parties can be required to produce relevant documents. Unless protected by privilege, your AAR, your exercise notes, your observer notes, and your findings are all potentially discoverable. They are business records.</w:t>
      </w:r>
    </w:p>
    <w:p w14:paraId="5D3E1B40" w14:textId="77777777" w:rsidR="00C254F8" w:rsidRDefault="00000000">
      <w:pPr>
        <w:spacing w:after="160" w:line="276" w:lineRule="auto"/>
      </w:pPr>
      <w:r>
        <w:t>This is not a reason to avoid documenting findings. Undocumented findings are worse: they suggest the organization knew about problems but chose not to create a record, which looks like concealment rather than transparency. The correct approach is honest, calibrated documentation with clear remediation pathways.</w:t>
      </w:r>
    </w:p>
    <w:p w14:paraId="32A855D2" w14:textId="77777777" w:rsidR="00C254F8" w:rsidRDefault="00000000">
      <w:pPr>
        <w:spacing w:before="280" w:after="160"/>
      </w:pPr>
      <w:r>
        <w:rPr>
          <w:b/>
          <w:bCs/>
          <w:color w:val="2E5C8A"/>
          <w:sz w:val="26"/>
          <w:szCs w:val="26"/>
        </w:rPr>
        <w:t>4.2 Subpoena Risk for Facilitators</w:t>
      </w:r>
    </w:p>
    <w:p w14:paraId="7EF11E85" w14:textId="77777777" w:rsidR="00C254F8" w:rsidRDefault="00000000">
      <w:pPr>
        <w:spacing w:after="160" w:line="276" w:lineRule="auto"/>
      </w:pPr>
      <w:r>
        <w:t>As the facilitator, you can be subpoenaed to testify about what you observed during the exercise. Your notes, your drafts, and your communications with the client are all potentially discoverable. This has practical implications. Keep your personal notes professional and factual. Do not include editorial commentary, sarcasm, or informal observations in exercise notes or draft AARs. If it's in writing, assume it could be read aloud in a courtroom.</w:t>
      </w:r>
    </w:p>
    <w:p w14:paraId="032CCE3B" w14:textId="77777777" w:rsidR="00C254F8" w:rsidRDefault="00000000">
      <w:pPr>
        <w:spacing w:before="280" w:after="160"/>
      </w:pPr>
      <w:r>
        <w:rPr>
          <w:b/>
          <w:bCs/>
          <w:color w:val="2E5C8A"/>
          <w:sz w:val="26"/>
          <w:szCs w:val="26"/>
        </w:rPr>
        <w:t>4.3 Document Retention</w:t>
      </w:r>
    </w:p>
    <w:p w14:paraId="68F04EED" w14:textId="77777777" w:rsidR="00C254F8" w:rsidRDefault="00000000">
      <w:pPr>
        <w:spacing w:after="160" w:line="276" w:lineRule="auto"/>
      </w:pPr>
      <w:r>
        <w:t>Your engagement terms should specify how long you retain exercise documentation and what happens to it after the retention period. Indefinite retention increases your exposure. No retention policy at all leaves it to a judge's interpretation. A defined retention period (typically aligned with the client's own record retention policies, often 3 to 7 years) is defensible.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9360"/>
      </w:tblGrid>
      <w:tr w:rsidR="00C254F8" w14:paraId="2AF07A10" w14:textId="77777777">
        <w:tblPrEx>
          <w:tblCellMar>
            <w:top w:w="0" w:type="dxa"/>
            <w:bottom w:w="0" w:type="dxa"/>
          </w:tblCellMar>
        </w:tblPrEx>
        <w:tc>
          <w:tcPr>
            <w:tcW w:w="9360" w:type="dxa"/>
            <w:tcBorders>
              <w:left w:val="single" w:sz="12" w:space="0" w:color="D4A843"/>
            </w:tcBorders>
            <w:shd w:val="clear" w:color="auto" w:fill="FFF8E1"/>
          </w:tcPr>
          <w:p w14:paraId="6610BB5B" w14:textId="77777777" w:rsidR="00C254F8" w:rsidRDefault="00000000">
            <w:pPr>
              <w:spacing w:before="120" w:after="120"/>
              <w:ind w:left="120"/>
            </w:pPr>
            <w:r>
              <w:rPr>
                <w:i/>
                <w:iCs/>
              </w:rPr>
              <w:t>Practical guidance: retain a copy of the final AAR, the signed SOW, and the exercise attendance record. Destroy drafts, personal notes, and working documents after the final AAR is delivered and accepted. Document your retention policy in your engagement terms.</w:t>
            </w:r>
          </w:p>
        </w:tc>
      </w:tr>
    </w:tbl>
    <w:p w14:paraId="66876FC8" w14:textId="77777777" w:rsidR="00C254F8" w:rsidRDefault="00000000">
      <w:r>
        <w:br w:type="page"/>
      </w:r>
    </w:p>
    <w:p w14:paraId="74D83FCB" w14:textId="77777777" w:rsidR="00C254F8" w:rsidRDefault="00000000">
      <w:pPr>
        <w:spacing w:before="360" w:after="200"/>
      </w:pPr>
      <w:r>
        <w:rPr>
          <w:b/>
          <w:bCs/>
          <w:color w:val="1B3A5C"/>
          <w:sz w:val="48"/>
          <w:szCs w:val="48"/>
        </w:rPr>
        <w:lastRenderedPageBreak/>
        <w:t xml:space="preserve">Section 5: The </w:t>
      </w:r>
      <w:proofErr w:type="spellStart"/>
      <w:r>
        <w:rPr>
          <w:b/>
          <w:bCs/>
          <w:color w:val="1B3A5C"/>
          <w:sz w:val="48"/>
          <w:szCs w:val="48"/>
        </w:rPr>
        <w:t>vCISO</w:t>
      </w:r>
      <w:proofErr w:type="spellEnd"/>
      <w:r>
        <w:rPr>
          <w:b/>
          <w:bCs/>
          <w:color w:val="1B3A5C"/>
          <w:sz w:val="48"/>
          <w:szCs w:val="48"/>
        </w:rPr>
        <w:t xml:space="preserve"> Dual-Role Risk</w:t>
      </w:r>
    </w:p>
    <w:p w14:paraId="27143D6B" w14:textId="77777777" w:rsidR="00C254F8" w:rsidRDefault="00000000">
      <w:pPr>
        <w:spacing w:before="280" w:after="160"/>
      </w:pPr>
      <w:r>
        <w:rPr>
          <w:b/>
          <w:bCs/>
          <w:color w:val="2E5C8A"/>
          <w:sz w:val="26"/>
          <w:szCs w:val="26"/>
        </w:rPr>
        <w:t>5.1 The Problem</w:t>
      </w:r>
    </w:p>
    <w:p w14:paraId="4E84F049" w14:textId="77777777" w:rsidR="00C254F8" w:rsidRDefault="00000000">
      <w:pPr>
        <w:spacing w:after="160" w:line="276" w:lineRule="auto"/>
      </w:pPr>
      <w:proofErr w:type="spellStart"/>
      <w:r>
        <w:t>vCISOs</w:t>
      </w:r>
      <w:proofErr w:type="spellEnd"/>
      <w:r>
        <w:t xml:space="preserve"> who deliver Pulse Check engagements to their own clients face a structural conflict. As the </w:t>
      </w:r>
      <w:proofErr w:type="spellStart"/>
      <w:r>
        <w:t>vCISO</w:t>
      </w:r>
      <w:proofErr w:type="spellEnd"/>
      <w:r>
        <w:t>, you are responsible for the security program. As the Pulse Check facilitator, you are evaluating the security program. You are grading your own homework.</w:t>
      </w:r>
    </w:p>
    <w:p w14:paraId="5D03061F" w14:textId="77777777" w:rsidR="00C254F8" w:rsidRDefault="00000000">
      <w:pPr>
        <w:spacing w:after="160" w:line="276" w:lineRule="auto"/>
      </w:pPr>
      <w:r>
        <w:t>This does not make the exercise invalid, but it changes how findings should be framed and disclosed. A finding that says "the organization lacks a documented incident response plan" means something different when the facilitator is also the person responsible for creating that plan.</w:t>
      </w:r>
    </w:p>
    <w:p w14:paraId="580EB8CA" w14:textId="77777777" w:rsidR="00C254F8" w:rsidRDefault="00000000">
      <w:pPr>
        <w:spacing w:before="280" w:after="160"/>
      </w:pPr>
      <w:r>
        <w:rPr>
          <w:b/>
          <w:bCs/>
          <w:color w:val="2E5C8A"/>
          <w:sz w:val="26"/>
          <w:szCs w:val="26"/>
        </w:rPr>
        <w:t>5.2 Managing the Dual Role</w:t>
      </w:r>
    </w:p>
    <w:p w14:paraId="47D3FBF1" w14:textId="77777777" w:rsidR="00C254F8" w:rsidRDefault="00000000">
      <w:pPr>
        <w:spacing w:after="160" w:line="276" w:lineRule="auto"/>
      </w:pPr>
      <w:r>
        <w:t xml:space="preserve">Disclose the dual role explicitly in the engagement letter and in the AAR. State that you serve as both the </w:t>
      </w:r>
      <w:proofErr w:type="spellStart"/>
      <w:r>
        <w:t>vCISO</w:t>
      </w:r>
      <w:proofErr w:type="spellEnd"/>
      <w:r>
        <w:t xml:space="preserve"> and the exercise facilitator, and that this dual role is known to and accepted by the client.</w:t>
      </w:r>
    </w:p>
    <w:p w14:paraId="2A752F3C" w14:textId="77777777" w:rsidR="00C254F8" w:rsidRDefault="00000000">
      <w:pPr>
        <w:spacing w:after="160" w:line="276" w:lineRule="auto"/>
      </w:pPr>
      <w:r>
        <w:t xml:space="preserve">Separate the hats during the exercise. As facilitator, you evaluate what the organization demonstrates. As </w:t>
      </w:r>
      <w:proofErr w:type="spellStart"/>
      <w:r>
        <w:t>vCISO</w:t>
      </w:r>
      <w:proofErr w:type="spellEnd"/>
      <w:r>
        <w:t xml:space="preserve">, you </w:t>
      </w:r>
      <w:proofErr w:type="gramStart"/>
      <w:r>
        <w:t>own</w:t>
      </w:r>
      <w:proofErr w:type="gramEnd"/>
      <w:r>
        <w:t xml:space="preserve"> the remediation plan that follows. The AAR documents the facilitation findings; the remediation roadmap is a separate </w:t>
      </w:r>
      <w:proofErr w:type="spellStart"/>
      <w:r>
        <w:t>vCISO</w:t>
      </w:r>
      <w:proofErr w:type="spellEnd"/>
      <w:r>
        <w:t xml:space="preserve"> deliverable.</w:t>
      </w:r>
    </w:p>
    <w:p w14:paraId="6CA1CCBD" w14:textId="77777777" w:rsidR="00C254F8" w:rsidRDefault="00000000">
      <w:pPr>
        <w:spacing w:after="160" w:line="276" w:lineRule="auto"/>
      </w:pPr>
      <w:r>
        <w:t xml:space="preserve">Consider bringing in an external observer for exercises where the dual role creates </w:t>
      </w:r>
      <w:proofErr w:type="gramStart"/>
      <w:r>
        <w:t>particular tension</w:t>
      </w:r>
      <w:proofErr w:type="gramEnd"/>
      <w:r>
        <w:t xml:space="preserve"> (for example, when the scenario directly tests a program area you designed). The observer provides independent documentation that isn't filtered through the </w:t>
      </w:r>
      <w:proofErr w:type="spellStart"/>
      <w:r>
        <w:t>vCISO</w:t>
      </w:r>
      <w:proofErr w:type="spellEnd"/>
      <w:r>
        <w:t xml:space="preserve"> lens.</w:t>
      </w:r>
    </w:p>
    <w:p w14:paraId="1638547E" w14:textId="77777777" w:rsidR="00C254F8" w:rsidRDefault="00000000">
      <w:pPr>
        <w:spacing w:before="280" w:after="160"/>
      </w:pPr>
      <w:r>
        <w:rPr>
          <w:b/>
          <w:bCs/>
          <w:color w:val="2E5C8A"/>
          <w:sz w:val="26"/>
          <w:szCs w:val="26"/>
        </w:rPr>
        <w:t>5.3 The Board Reporting Dimension</w:t>
      </w:r>
    </w:p>
    <w:p w14:paraId="0A0E138F" w14:textId="77777777" w:rsidR="00C254F8" w:rsidRDefault="00000000">
      <w:pPr>
        <w:spacing w:after="160" w:line="276" w:lineRule="auto"/>
      </w:pPr>
      <w:r>
        <w:t xml:space="preserve">If the </w:t>
      </w:r>
      <w:proofErr w:type="spellStart"/>
      <w:r>
        <w:t>vCISO</w:t>
      </w:r>
      <w:proofErr w:type="spellEnd"/>
      <w:r>
        <w:t xml:space="preserve"> reports to the board or an audit committee, the exercise findings become part of the governance record. Findings that the </w:t>
      </w:r>
      <w:proofErr w:type="spellStart"/>
      <w:r>
        <w:t>vCISO</w:t>
      </w:r>
      <w:proofErr w:type="spellEnd"/>
      <w:r>
        <w:t xml:space="preserve"> identified and is actively remediating demonstrate program maturity. Findings that persist </w:t>
      </w:r>
      <w:proofErr w:type="gramStart"/>
      <w:r>
        <w:t>across</w:t>
      </w:r>
      <w:proofErr w:type="gramEnd"/>
      <w:r>
        <w:t xml:space="preserve"> multiple exercises without remediation become a governance liability, and </w:t>
      </w:r>
      <w:proofErr w:type="gramStart"/>
      <w:r>
        <w:t xml:space="preserve">the </w:t>
      </w:r>
      <w:proofErr w:type="spellStart"/>
      <w:r>
        <w:t>vCISO</w:t>
      </w:r>
      <w:proofErr w:type="spellEnd"/>
      <w:proofErr w:type="gramEnd"/>
      <w:r>
        <w:t xml:space="preserve"> owns that liability.</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9360"/>
      </w:tblGrid>
      <w:tr w:rsidR="00C254F8" w14:paraId="7D63306E" w14:textId="77777777">
        <w:tblPrEx>
          <w:tblCellMar>
            <w:top w:w="0" w:type="dxa"/>
            <w:bottom w:w="0" w:type="dxa"/>
          </w:tblCellMar>
        </w:tblPrEx>
        <w:tc>
          <w:tcPr>
            <w:tcW w:w="9360" w:type="dxa"/>
            <w:tcBorders>
              <w:left w:val="single" w:sz="12" w:space="0" w:color="D4A843"/>
            </w:tcBorders>
            <w:shd w:val="clear" w:color="auto" w:fill="FFF8E1"/>
          </w:tcPr>
          <w:p w14:paraId="591107C0" w14:textId="77777777" w:rsidR="00C254F8" w:rsidRDefault="00000000">
            <w:pPr>
              <w:spacing w:before="120" w:after="120"/>
              <w:ind w:left="120"/>
            </w:pPr>
            <w:r>
              <w:rPr>
                <w:i/>
                <w:iCs/>
              </w:rPr>
              <w:t xml:space="preserve">If you're a </w:t>
            </w:r>
            <w:proofErr w:type="spellStart"/>
            <w:r>
              <w:rPr>
                <w:i/>
                <w:iCs/>
              </w:rPr>
              <w:t>vCISO</w:t>
            </w:r>
            <w:proofErr w:type="spellEnd"/>
            <w:r>
              <w:rPr>
                <w:i/>
                <w:iCs/>
              </w:rPr>
              <w:t xml:space="preserve"> delivering Pulse Check to your own clients, your findings are going to include things you're responsible for fixing. That's the point. The exercise is a governance mechanism, not a performance review. Frame findings as program maturity inputs, not personal failures.</w:t>
            </w:r>
          </w:p>
        </w:tc>
      </w:tr>
    </w:tbl>
    <w:p w14:paraId="6145EA70" w14:textId="77777777" w:rsidR="00C254F8" w:rsidRDefault="00000000">
      <w:r>
        <w:br w:type="page"/>
      </w:r>
    </w:p>
    <w:p w14:paraId="523FBBE7" w14:textId="77777777" w:rsidR="00C254F8" w:rsidRDefault="00000000">
      <w:pPr>
        <w:spacing w:before="360" w:after="200"/>
      </w:pPr>
      <w:r>
        <w:rPr>
          <w:b/>
          <w:bCs/>
          <w:color w:val="1B3A5C"/>
          <w:sz w:val="48"/>
          <w:szCs w:val="48"/>
        </w:rPr>
        <w:lastRenderedPageBreak/>
        <w:t>Section 6: Engagement Structure Recommendations</w:t>
      </w:r>
    </w:p>
    <w:p w14:paraId="7218785D" w14:textId="77777777" w:rsidR="00C254F8" w:rsidRDefault="00C254F8">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3600"/>
        <w:gridCol w:w="5760"/>
      </w:tblGrid>
      <w:tr w:rsidR="00C254F8" w14:paraId="71E54CE8" w14:textId="77777777">
        <w:tblPrEx>
          <w:tblCellMar>
            <w:top w:w="0" w:type="dxa"/>
            <w:bottom w:w="0" w:type="dxa"/>
          </w:tblCellMar>
        </w:tblPrEx>
        <w:tc>
          <w:tcPr>
            <w:tcW w:w="3600" w:type="dxa"/>
            <w:shd w:val="clear" w:color="auto" w:fill="1B3A5C"/>
            <w:vAlign w:val="center"/>
          </w:tcPr>
          <w:p w14:paraId="2FCE73C2" w14:textId="77777777" w:rsidR="00C254F8" w:rsidRDefault="00000000">
            <w:pPr>
              <w:spacing w:before="60" w:after="60"/>
            </w:pPr>
            <w:r>
              <w:rPr>
                <w:b/>
                <w:bCs/>
                <w:color w:val="FFFFFF"/>
              </w:rPr>
              <w:t>Risk Factor</w:t>
            </w:r>
          </w:p>
        </w:tc>
        <w:tc>
          <w:tcPr>
            <w:tcW w:w="5760" w:type="dxa"/>
            <w:shd w:val="clear" w:color="auto" w:fill="1B3A5C"/>
            <w:vAlign w:val="center"/>
          </w:tcPr>
          <w:p w14:paraId="1E3BA994" w14:textId="77777777" w:rsidR="00C254F8" w:rsidRDefault="00000000">
            <w:pPr>
              <w:spacing w:before="60" w:after="60"/>
            </w:pPr>
            <w:r>
              <w:rPr>
                <w:b/>
                <w:bCs/>
                <w:color w:val="FFFFFF"/>
              </w:rPr>
              <w:t>Recommended Engagement Structure</w:t>
            </w:r>
          </w:p>
        </w:tc>
      </w:tr>
      <w:tr w:rsidR="00C254F8" w14:paraId="212CCCBB" w14:textId="77777777">
        <w:tblPrEx>
          <w:tblCellMar>
            <w:top w:w="0" w:type="dxa"/>
            <w:bottom w:w="0" w:type="dxa"/>
          </w:tblCellMar>
        </w:tblPrEx>
        <w:tc>
          <w:tcPr>
            <w:tcW w:w="3600" w:type="dxa"/>
            <w:shd w:val="clear" w:color="auto" w:fill="FFFFFF"/>
          </w:tcPr>
          <w:p w14:paraId="04C45EB0" w14:textId="77777777" w:rsidR="00C254F8" w:rsidRDefault="00000000">
            <w:pPr>
              <w:spacing w:before="60" w:after="60"/>
            </w:pPr>
            <w:r>
              <w:rPr>
                <w:b/>
                <w:bCs/>
              </w:rPr>
              <w:t>Standard MSP client, no regulatory exposure, no prior breaches</w:t>
            </w:r>
          </w:p>
        </w:tc>
        <w:tc>
          <w:tcPr>
            <w:tcW w:w="5760" w:type="dxa"/>
            <w:shd w:val="clear" w:color="auto" w:fill="FFFFFF"/>
          </w:tcPr>
          <w:p w14:paraId="7C7149E5" w14:textId="77777777" w:rsidR="00C254F8" w:rsidRDefault="00000000">
            <w:pPr>
              <w:spacing w:before="60" w:after="60"/>
            </w:pPr>
            <w:r>
              <w:t>Standard SOW and engagement terms. Standard AAR delivery to client contact.</w:t>
            </w:r>
          </w:p>
        </w:tc>
      </w:tr>
      <w:tr w:rsidR="00C254F8" w14:paraId="27E3BD33" w14:textId="77777777">
        <w:tblPrEx>
          <w:tblCellMar>
            <w:top w:w="0" w:type="dxa"/>
            <w:bottom w:w="0" w:type="dxa"/>
          </w:tblCellMar>
        </w:tblPrEx>
        <w:tc>
          <w:tcPr>
            <w:tcW w:w="3600" w:type="dxa"/>
            <w:shd w:val="clear" w:color="auto" w:fill="F5F5F5"/>
          </w:tcPr>
          <w:p w14:paraId="4EB6E332" w14:textId="77777777" w:rsidR="00C254F8" w:rsidRDefault="00000000">
            <w:pPr>
              <w:spacing w:before="60" w:after="60"/>
            </w:pPr>
            <w:r>
              <w:rPr>
                <w:b/>
                <w:bCs/>
              </w:rPr>
              <w:t>Client with cyber insurance, renewal within 90 days</w:t>
            </w:r>
          </w:p>
        </w:tc>
        <w:tc>
          <w:tcPr>
            <w:tcW w:w="5760" w:type="dxa"/>
            <w:shd w:val="clear" w:color="auto" w:fill="F5F5F5"/>
          </w:tcPr>
          <w:p w14:paraId="5936D705" w14:textId="77777777" w:rsidR="00C254F8" w:rsidRDefault="00000000">
            <w:pPr>
              <w:spacing w:before="60" w:after="60"/>
            </w:pPr>
            <w:r>
              <w:t>Standard engagement. Add Compliance Evidence Package. Time delivery to support renewal.</w:t>
            </w:r>
          </w:p>
        </w:tc>
      </w:tr>
      <w:tr w:rsidR="00C254F8" w14:paraId="4136B9FF" w14:textId="77777777">
        <w:tblPrEx>
          <w:tblCellMar>
            <w:top w:w="0" w:type="dxa"/>
            <w:bottom w:w="0" w:type="dxa"/>
          </w:tblCellMar>
        </w:tblPrEx>
        <w:tc>
          <w:tcPr>
            <w:tcW w:w="3600" w:type="dxa"/>
            <w:shd w:val="clear" w:color="auto" w:fill="FFFFFF"/>
          </w:tcPr>
          <w:p w14:paraId="66DE13F5" w14:textId="77777777" w:rsidR="00C254F8" w:rsidRDefault="00000000">
            <w:pPr>
              <w:spacing w:before="60" w:after="60"/>
            </w:pPr>
            <w:r>
              <w:rPr>
                <w:b/>
                <w:bCs/>
              </w:rPr>
              <w:t>Client in regulated industry (HIPAA, PCI-DSS, CMMC, SOC 2)</w:t>
            </w:r>
          </w:p>
        </w:tc>
        <w:tc>
          <w:tcPr>
            <w:tcW w:w="5760" w:type="dxa"/>
            <w:shd w:val="clear" w:color="auto" w:fill="FFFFFF"/>
          </w:tcPr>
          <w:p w14:paraId="70B09450" w14:textId="77777777" w:rsidR="00C254F8" w:rsidRDefault="00000000">
            <w:pPr>
              <w:spacing w:before="60" w:after="60"/>
            </w:pPr>
            <w:r>
              <w:t>Standard engagement with enhanced disclaimers. Note in AAR that findings are for internal improvement and do not constitute a compliance audit.</w:t>
            </w:r>
          </w:p>
        </w:tc>
      </w:tr>
      <w:tr w:rsidR="00C254F8" w14:paraId="7AEA9230" w14:textId="77777777">
        <w:tblPrEx>
          <w:tblCellMar>
            <w:top w:w="0" w:type="dxa"/>
            <w:bottom w:w="0" w:type="dxa"/>
          </w:tblCellMar>
        </w:tblPrEx>
        <w:tc>
          <w:tcPr>
            <w:tcW w:w="3600" w:type="dxa"/>
            <w:shd w:val="clear" w:color="auto" w:fill="F5F5F5"/>
          </w:tcPr>
          <w:p w14:paraId="6B8A4C11" w14:textId="77777777" w:rsidR="00C254F8" w:rsidRDefault="00000000">
            <w:pPr>
              <w:spacing w:before="60" w:after="60"/>
            </w:pPr>
            <w:r>
              <w:rPr>
                <w:b/>
                <w:bCs/>
              </w:rPr>
              <w:t>Client with prior breach history (past 24 months)</w:t>
            </w:r>
          </w:p>
        </w:tc>
        <w:tc>
          <w:tcPr>
            <w:tcW w:w="5760" w:type="dxa"/>
            <w:shd w:val="clear" w:color="auto" w:fill="F5F5F5"/>
          </w:tcPr>
          <w:p w14:paraId="33951F9D" w14:textId="77777777" w:rsidR="00C254F8" w:rsidRDefault="00000000">
            <w:pPr>
              <w:spacing w:before="60" w:after="60"/>
            </w:pPr>
            <w:r>
              <w:t>Recommend client consult counsel before engagement. Consider privilege structure. Enhanced SOW language on remediation follow-up.</w:t>
            </w:r>
          </w:p>
        </w:tc>
      </w:tr>
      <w:tr w:rsidR="00C254F8" w14:paraId="14153EDE" w14:textId="77777777">
        <w:tblPrEx>
          <w:tblCellMar>
            <w:top w:w="0" w:type="dxa"/>
            <w:bottom w:w="0" w:type="dxa"/>
          </w:tblCellMar>
        </w:tblPrEx>
        <w:tc>
          <w:tcPr>
            <w:tcW w:w="3600" w:type="dxa"/>
            <w:shd w:val="clear" w:color="auto" w:fill="FFFFFF"/>
          </w:tcPr>
          <w:p w14:paraId="13F73892" w14:textId="77777777" w:rsidR="00C254F8" w:rsidRDefault="00000000">
            <w:pPr>
              <w:spacing w:before="60" w:after="60"/>
            </w:pPr>
            <w:proofErr w:type="spellStart"/>
            <w:r>
              <w:rPr>
                <w:b/>
                <w:bCs/>
              </w:rPr>
              <w:t>vCISO</w:t>
            </w:r>
            <w:proofErr w:type="spellEnd"/>
            <w:r>
              <w:rPr>
                <w:b/>
                <w:bCs/>
              </w:rPr>
              <w:t xml:space="preserve"> delivering to own client</w:t>
            </w:r>
          </w:p>
        </w:tc>
        <w:tc>
          <w:tcPr>
            <w:tcW w:w="5760" w:type="dxa"/>
            <w:shd w:val="clear" w:color="auto" w:fill="FFFFFF"/>
          </w:tcPr>
          <w:p w14:paraId="0E41F9B5" w14:textId="77777777" w:rsidR="00C254F8" w:rsidRDefault="00000000">
            <w:pPr>
              <w:spacing w:before="60" w:after="60"/>
            </w:pPr>
            <w:r>
              <w:t xml:space="preserve">Dual-role disclosure in engagement letter and AAR. Consider external observer. Separate facilitation findings from </w:t>
            </w:r>
            <w:proofErr w:type="spellStart"/>
            <w:r>
              <w:t>vCISO</w:t>
            </w:r>
            <w:proofErr w:type="spellEnd"/>
            <w:r>
              <w:t xml:space="preserve"> remediation plan.</w:t>
            </w:r>
          </w:p>
        </w:tc>
      </w:tr>
      <w:tr w:rsidR="00C254F8" w14:paraId="0B639369" w14:textId="77777777">
        <w:tblPrEx>
          <w:tblCellMar>
            <w:top w:w="0" w:type="dxa"/>
            <w:bottom w:w="0" w:type="dxa"/>
          </w:tblCellMar>
        </w:tblPrEx>
        <w:tc>
          <w:tcPr>
            <w:tcW w:w="3600" w:type="dxa"/>
            <w:shd w:val="clear" w:color="auto" w:fill="F5F5F5"/>
          </w:tcPr>
          <w:p w14:paraId="0E198146" w14:textId="77777777" w:rsidR="00C254F8" w:rsidRDefault="00000000">
            <w:pPr>
              <w:spacing w:before="60" w:after="60"/>
            </w:pPr>
            <w:r>
              <w:rPr>
                <w:b/>
                <w:bCs/>
              </w:rPr>
              <w:t>Client requesting privileged engagement</w:t>
            </w:r>
          </w:p>
        </w:tc>
        <w:tc>
          <w:tcPr>
            <w:tcW w:w="5760" w:type="dxa"/>
            <w:shd w:val="clear" w:color="auto" w:fill="F5F5F5"/>
          </w:tcPr>
          <w:p w14:paraId="03811DDF" w14:textId="77777777" w:rsidR="00C254F8" w:rsidRDefault="00000000">
            <w:pPr>
              <w:spacing w:before="60" w:after="60"/>
            </w:pPr>
            <w:r>
              <w:t>Engagement directed by outside counsel. Facilitator engaged by counsel. AAR delivered to counsel. Requires modified SOW and engagement structure. Do not proceed without counsel involvement.</w:t>
            </w:r>
          </w:p>
        </w:tc>
      </w:tr>
    </w:tbl>
    <w:p w14:paraId="061ADABF" w14:textId="77777777" w:rsidR="00C254F8" w:rsidRDefault="00000000">
      <w:r>
        <w:br w:type="page"/>
      </w:r>
    </w:p>
    <w:p w14:paraId="4F467C52" w14:textId="77777777" w:rsidR="00C254F8" w:rsidRDefault="00000000">
      <w:pPr>
        <w:spacing w:before="360" w:after="200"/>
      </w:pPr>
      <w:r>
        <w:rPr>
          <w:b/>
          <w:bCs/>
          <w:color w:val="1B3A5C"/>
          <w:sz w:val="48"/>
          <w:szCs w:val="48"/>
        </w:rPr>
        <w:lastRenderedPageBreak/>
        <w:t>Section 7: Practical Checklist</w:t>
      </w:r>
    </w:p>
    <w:p w14:paraId="5E1C32B3" w14:textId="77777777" w:rsidR="00C254F8" w:rsidRDefault="00C254F8">
      <w:pPr>
        <w:spacing w:after="60"/>
      </w:pPr>
    </w:p>
    <w:p w14:paraId="7AD1DFDB" w14:textId="77777777" w:rsidR="00C254F8" w:rsidRDefault="00000000">
      <w:pPr>
        <w:spacing w:after="120" w:line="276" w:lineRule="auto"/>
        <w:ind w:left="360"/>
      </w:pPr>
      <w:proofErr w:type="gramStart"/>
      <w:r>
        <w:t>☐  I</w:t>
      </w:r>
      <w:proofErr w:type="gramEnd"/>
      <w:r>
        <w:t xml:space="preserve"> understand the difference between attestation and documentation for insurance purposes</w:t>
      </w:r>
    </w:p>
    <w:p w14:paraId="6085C4CD" w14:textId="77777777" w:rsidR="00C254F8" w:rsidRDefault="00000000">
      <w:pPr>
        <w:spacing w:after="120" w:line="276" w:lineRule="auto"/>
        <w:ind w:left="360"/>
      </w:pPr>
      <w:proofErr w:type="gramStart"/>
      <w:r>
        <w:t>☐  I</w:t>
      </w:r>
      <w:proofErr w:type="gramEnd"/>
      <w:r>
        <w:t xml:space="preserve"> ask about cyber insurance policy renewal timing during client intake</w:t>
      </w:r>
    </w:p>
    <w:p w14:paraId="06DBCA36" w14:textId="77777777" w:rsidR="00C254F8" w:rsidRDefault="00000000">
      <w:pPr>
        <w:spacing w:after="120" w:line="276" w:lineRule="auto"/>
        <w:ind w:left="360"/>
      </w:pPr>
      <w:proofErr w:type="gramStart"/>
      <w:r>
        <w:t>☐  My</w:t>
      </w:r>
      <w:proofErr w:type="gramEnd"/>
      <w:r>
        <w:t xml:space="preserve"> engagement terms address document retention and what happens to exercise records</w:t>
      </w:r>
    </w:p>
    <w:p w14:paraId="38E93603" w14:textId="77777777" w:rsidR="00C254F8" w:rsidRDefault="00000000">
      <w:pPr>
        <w:spacing w:after="120" w:line="276" w:lineRule="auto"/>
        <w:ind w:left="360"/>
      </w:pPr>
      <w:proofErr w:type="gramStart"/>
      <w:r>
        <w:t>☐  I</w:t>
      </w:r>
      <w:proofErr w:type="gramEnd"/>
      <w:r>
        <w:t xml:space="preserve"> know when to recommend that a client involve legal counsel before the engagement</w:t>
      </w:r>
    </w:p>
    <w:p w14:paraId="65C9D400" w14:textId="77777777" w:rsidR="00C254F8" w:rsidRDefault="00000000">
      <w:pPr>
        <w:spacing w:after="120" w:line="276" w:lineRule="auto"/>
        <w:ind w:left="360"/>
      </w:pPr>
      <w:proofErr w:type="gramStart"/>
      <w:r>
        <w:t>☐  I</w:t>
      </w:r>
      <w:proofErr w:type="gramEnd"/>
      <w:r>
        <w:t xml:space="preserve"> understand the privilege decision tree and can walk a client through it</w:t>
      </w:r>
    </w:p>
    <w:p w14:paraId="0AD6E5B6" w14:textId="77777777" w:rsidR="00C254F8" w:rsidRDefault="00000000">
      <w:pPr>
        <w:spacing w:after="120" w:line="276" w:lineRule="auto"/>
        <w:ind w:left="360"/>
      </w:pPr>
      <w:proofErr w:type="gramStart"/>
      <w:r>
        <w:t>☐  My</w:t>
      </w:r>
      <w:proofErr w:type="gramEnd"/>
      <w:r>
        <w:t xml:space="preserve"> personal exercise notes are professional and factual (nothing I wouldn't want </w:t>
      </w:r>
      <w:proofErr w:type="gramStart"/>
      <w:r>
        <w:t>read</w:t>
      </w:r>
      <w:proofErr w:type="gramEnd"/>
      <w:r>
        <w:t xml:space="preserve"> in a deposition)</w:t>
      </w:r>
    </w:p>
    <w:p w14:paraId="71372532" w14:textId="77777777" w:rsidR="00C254F8" w:rsidRDefault="00000000">
      <w:pPr>
        <w:spacing w:after="120" w:line="276" w:lineRule="auto"/>
        <w:ind w:left="360"/>
      </w:pPr>
      <w:proofErr w:type="gramStart"/>
      <w:r>
        <w:t>☐  If</w:t>
      </w:r>
      <w:proofErr w:type="gramEnd"/>
      <w:r>
        <w:t xml:space="preserve"> I'm a </w:t>
      </w:r>
      <w:proofErr w:type="spellStart"/>
      <w:r>
        <w:t>vCISO</w:t>
      </w:r>
      <w:proofErr w:type="spellEnd"/>
      <w:r>
        <w:t>, my dual role is disclosed in writing in the engagement letter and AAR</w:t>
      </w:r>
    </w:p>
    <w:p w14:paraId="6B9AE433" w14:textId="77777777" w:rsidR="00C254F8" w:rsidRDefault="00000000">
      <w:pPr>
        <w:spacing w:after="120" w:line="276" w:lineRule="auto"/>
        <w:ind w:left="360"/>
      </w:pPr>
      <w:proofErr w:type="gramStart"/>
      <w:r>
        <w:t>☐  I</w:t>
      </w:r>
      <w:proofErr w:type="gramEnd"/>
      <w:r>
        <w:t xml:space="preserve"> do not provide legal advice about privilege, coverage, or liability to clients (I refer them to counsel)</w:t>
      </w:r>
    </w:p>
    <w:p w14:paraId="30316E3E" w14:textId="77777777" w:rsidR="00C254F8" w:rsidRDefault="00000000">
      <w:r>
        <w:br w:type="page"/>
      </w:r>
    </w:p>
    <w:p w14:paraId="735F01C8" w14:textId="77777777" w:rsidR="00C254F8" w:rsidRDefault="00000000">
      <w:pPr>
        <w:spacing w:before="360" w:after="200"/>
      </w:pPr>
      <w:r>
        <w:rPr>
          <w:b/>
          <w:bCs/>
          <w:color w:val="1B3A5C"/>
          <w:sz w:val="48"/>
          <w:szCs w:val="48"/>
        </w:rPr>
        <w:lastRenderedPageBreak/>
        <w:t>Section 8: References</w:t>
      </w:r>
    </w:p>
    <w:p w14:paraId="1ED45DE1" w14:textId="77777777" w:rsidR="00C254F8" w:rsidRDefault="00C254F8">
      <w:pPr>
        <w:spacing w:after="60"/>
      </w:pPr>
    </w:p>
    <w:p w14:paraId="54223CE8" w14:textId="77777777" w:rsidR="00C254F8" w:rsidRDefault="00000000">
      <w:pPr>
        <w:spacing w:after="160" w:line="276" w:lineRule="auto"/>
      </w:pPr>
      <w:r>
        <w:rPr>
          <w:b/>
          <w:bCs/>
        </w:rPr>
        <w:t>PC-202: Statement of Work and Engagement Terms</w:t>
      </w:r>
      <w:r>
        <w:t xml:space="preserve"> (engagement structure)</w:t>
      </w:r>
    </w:p>
    <w:p w14:paraId="408764A7" w14:textId="77777777" w:rsidR="00C254F8" w:rsidRDefault="00000000">
      <w:pPr>
        <w:spacing w:after="160" w:line="276" w:lineRule="auto"/>
      </w:pPr>
      <w:r>
        <w:rPr>
          <w:b/>
          <w:bCs/>
        </w:rPr>
        <w:t>PC-203: Pre-Exercise Forms</w:t>
      </w:r>
      <w:r>
        <w:t xml:space="preserve"> (authorization and scope)</w:t>
      </w:r>
    </w:p>
    <w:p w14:paraId="252D2260" w14:textId="77777777" w:rsidR="00C254F8" w:rsidRDefault="00000000">
      <w:pPr>
        <w:spacing w:after="160" w:line="276" w:lineRule="auto"/>
      </w:pPr>
      <w:r>
        <w:rPr>
          <w:b/>
          <w:bCs/>
        </w:rPr>
        <w:t>PC-601: Pulse Check AAR Template</w:t>
      </w:r>
      <w:r>
        <w:t xml:space="preserve"> (deliverable format)</w:t>
      </w:r>
    </w:p>
    <w:p w14:paraId="4F8C9032" w14:textId="77777777" w:rsidR="00C254F8" w:rsidRDefault="00000000">
      <w:pPr>
        <w:spacing w:after="160" w:line="276" w:lineRule="auto"/>
      </w:pPr>
      <w:r>
        <w:rPr>
          <w:b/>
          <w:bCs/>
        </w:rPr>
        <w:t>PC-603: Compliance Evidence Package</w:t>
      </w:r>
      <w:r>
        <w:t xml:space="preserve"> (insurance documentation)</w:t>
      </w:r>
    </w:p>
    <w:p w14:paraId="5E84A767" w14:textId="77777777" w:rsidR="00C254F8" w:rsidRDefault="00000000">
      <w:pPr>
        <w:spacing w:after="160" w:line="276" w:lineRule="auto"/>
      </w:pPr>
      <w:r>
        <w:rPr>
          <w:b/>
          <w:bCs/>
        </w:rPr>
        <w:t>PC-702: Annual Renewal Proposal</w:t>
      </w:r>
      <w:r>
        <w:t xml:space="preserve"> (follow-up mechanism)</w:t>
      </w:r>
    </w:p>
    <w:p w14:paraId="22170112" w14:textId="77777777" w:rsidR="00C254F8" w:rsidRDefault="00C254F8">
      <w:pPr>
        <w:spacing w:after="2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9360"/>
      </w:tblGrid>
      <w:tr w:rsidR="00C254F8" w14:paraId="3C75CA00" w14:textId="77777777">
        <w:tblPrEx>
          <w:tblCellMar>
            <w:top w:w="0" w:type="dxa"/>
            <w:bottom w:w="0" w:type="dxa"/>
          </w:tblCellMar>
        </w:tblPrEx>
        <w:tc>
          <w:tcPr>
            <w:tcW w:w="9360" w:type="dxa"/>
            <w:tcBorders>
              <w:top w:val="single" w:sz="6" w:space="0" w:color="C62828"/>
              <w:bottom w:val="single" w:sz="6" w:space="0" w:color="C62828"/>
            </w:tcBorders>
            <w:shd w:val="clear" w:color="auto" w:fill="FFF2F2"/>
          </w:tcPr>
          <w:p w14:paraId="6790E388" w14:textId="77777777" w:rsidR="00C254F8" w:rsidRDefault="00000000">
            <w:pPr>
              <w:spacing w:before="120" w:after="120"/>
              <w:ind w:left="120"/>
            </w:pPr>
            <w:r>
              <w:rPr>
                <w:b/>
                <w:bCs/>
                <w:color w:val="C62828"/>
              </w:rPr>
              <w:t xml:space="preserve">CONSULT LEGAL COUNSEL: </w:t>
            </w:r>
            <w:r>
              <w:rPr>
                <w:color w:val="C62828"/>
              </w:rPr>
              <w:t xml:space="preserve">This document provides general guidance on legal, insurance, and liability considerations for tabletop exercise delivery. It is not legal advice. Every jurisdiction, every client situation, and every engagement </w:t>
            </w:r>
            <w:proofErr w:type="gramStart"/>
            <w:r>
              <w:rPr>
                <w:color w:val="C62828"/>
              </w:rPr>
              <w:t>has</w:t>
            </w:r>
            <w:proofErr w:type="gramEnd"/>
            <w:r>
              <w:rPr>
                <w:color w:val="C62828"/>
              </w:rPr>
              <w:t xml:space="preserve"> unique factors that require professional legal counsel. When in doubt, consult an attorney licensed in the relevant jurisdiction.</w:t>
            </w:r>
          </w:p>
        </w:tc>
      </w:tr>
    </w:tbl>
    <w:p w14:paraId="0DD32391" w14:textId="77777777" w:rsidR="000F1EB8" w:rsidRDefault="000F1EB8"/>
    <w:sectPr w:rsidR="000F1EB8">
      <w:footerReference w:type="default" r:id="rId7"/>
      <w:pgSz w:w="12240" w:h="15840"/>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F7A11E" w14:textId="77777777" w:rsidR="000F1EB8" w:rsidRDefault="000F1EB8">
      <w:r>
        <w:separator/>
      </w:r>
    </w:p>
  </w:endnote>
  <w:endnote w:type="continuationSeparator" w:id="0">
    <w:p w14:paraId="2AA1826B" w14:textId="77777777" w:rsidR="000F1EB8" w:rsidRDefault="000F1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3B21B" w14:textId="77777777" w:rsidR="00C254F8" w:rsidRDefault="00000000">
    <w:pPr>
      <w:jc w:val="center"/>
    </w:pPr>
    <w:r>
      <w:rPr>
        <w:color w:val="888888"/>
        <w:sz w:val="16"/>
        <w:szCs w:val="16"/>
      </w:rPr>
      <w:t>Business Resilience Pulse Check | PC-705 | Third-Party Impacts, Law and Liability</w:t>
    </w:r>
  </w:p>
  <w:p w14:paraId="1934A65B" w14:textId="77777777" w:rsidR="00C254F8" w:rsidRDefault="00000000">
    <w:pPr>
      <w:jc w:val="center"/>
    </w:pPr>
    <w:r>
      <w:rPr>
        <w:color w:val="888888"/>
        <w:sz w:val="16"/>
        <w:szCs w:val="16"/>
      </w:rPr>
      <w:t>Internal Operations | Version 1.0 | July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BAF76" w14:textId="77777777" w:rsidR="000F1EB8" w:rsidRDefault="000F1EB8">
      <w:r>
        <w:separator/>
      </w:r>
    </w:p>
  </w:footnote>
  <w:footnote w:type="continuationSeparator" w:id="0">
    <w:p w14:paraId="26409D23" w14:textId="77777777" w:rsidR="000F1EB8" w:rsidRDefault="000F1E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2B6339"/>
    <w:multiLevelType w:val="hybridMultilevel"/>
    <w:tmpl w:val="09E05620"/>
    <w:lvl w:ilvl="0" w:tplc="704C9B34">
      <w:start w:val="1"/>
      <w:numFmt w:val="bullet"/>
      <w:lvlText w:val="●"/>
      <w:lvlJc w:val="left"/>
      <w:pPr>
        <w:ind w:left="720" w:hanging="360"/>
      </w:pPr>
    </w:lvl>
    <w:lvl w:ilvl="1" w:tplc="BAC008E8">
      <w:start w:val="1"/>
      <w:numFmt w:val="bullet"/>
      <w:lvlText w:val="○"/>
      <w:lvlJc w:val="left"/>
      <w:pPr>
        <w:ind w:left="1440" w:hanging="360"/>
      </w:pPr>
    </w:lvl>
    <w:lvl w:ilvl="2" w:tplc="2E9C85FC">
      <w:start w:val="1"/>
      <w:numFmt w:val="bullet"/>
      <w:lvlText w:val="■"/>
      <w:lvlJc w:val="left"/>
      <w:pPr>
        <w:ind w:left="2160" w:hanging="360"/>
      </w:pPr>
    </w:lvl>
    <w:lvl w:ilvl="3" w:tplc="B7281F7E">
      <w:start w:val="1"/>
      <w:numFmt w:val="bullet"/>
      <w:lvlText w:val="●"/>
      <w:lvlJc w:val="left"/>
      <w:pPr>
        <w:ind w:left="2880" w:hanging="360"/>
      </w:pPr>
    </w:lvl>
    <w:lvl w:ilvl="4" w:tplc="B0FC531E">
      <w:start w:val="1"/>
      <w:numFmt w:val="bullet"/>
      <w:lvlText w:val="○"/>
      <w:lvlJc w:val="left"/>
      <w:pPr>
        <w:ind w:left="3600" w:hanging="360"/>
      </w:pPr>
    </w:lvl>
    <w:lvl w:ilvl="5" w:tplc="FE20A096">
      <w:start w:val="1"/>
      <w:numFmt w:val="bullet"/>
      <w:lvlText w:val="■"/>
      <w:lvlJc w:val="left"/>
      <w:pPr>
        <w:ind w:left="4320" w:hanging="360"/>
      </w:pPr>
    </w:lvl>
    <w:lvl w:ilvl="6" w:tplc="377E525E">
      <w:start w:val="1"/>
      <w:numFmt w:val="bullet"/>
      <w:lvlText w:val="●"/>
      <w:lvlJc w:val="left"/>
      <w:pPr>
        <w:ind w:left="5040" w:hanging="360"/>
      </w:pPr>
    </w:lvl>
    <w:lvl w:ilvl="7" w:tplc="444C76FC">
      <w:start w:val="1"/>
      <w:numFmt w:val="bullet"/>
      <w:lvlText w:val="●"/>
      <w:lvlJc w:val="left"/>
      <w:pPr>
        <w:ind w:left="5760" w:hanging="360"/>
      </w:pPr>
    </w:lvl>
    <w:lvl w:ilvl="8" w:tplc="1E12F2B8">
      <w:start w:val="1"/>
      <w:numFmt w:val="bullet"/>
      <w:lvlText w:val="●"/>
      <w:lvlJc w:val="left"/>
      <w:pPr>
        <w:ind w:left="6480" w:hanging="360"/>
      </w:pPr>
    </w:lvl>
  </w:abstractNum>
  <w:num w:numId="1" w16cid:durableId="89739703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4F8"/>
    <w:rsid w:val="000F1EB8"/>
    <w:rsid w:val="00831835"/>
    <w:rsid w:val="00C254F8"/>
    <w:rsid w:val="00ED6E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0E870"/>
  <w15:docId w15:val="{20369B18-FF0B-4835-9E4A-9169F6637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2D2D2D"/>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6eda40e4-38cc-4b64-a68a-f59134208826}" enabled="1" method="Privileged" siteId="{6324f4fb-86ee-4493-ba16-c819a916b487}"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11</Pages>
  <Words>2105</Words>
  <Characters>12316</Characters>
  <Application>Microsoft Office Word</Application>
  <DocSecurity>0</DocSecurity>
  <Lines>241</Lines>
  <Paragraphs>119</Paragraphs>
  <ScaleCrop>false</ScaleCrop>
  <Company/>
  <LinksUpToDate>false</LinksUpToDate>
  <CharactersWithSpaces>14302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Lewis Pope</cp:lastModifiedBy>
  <cp:revision>2</cp:revision>
  <dcterms:created xsi:type="dcterms:W3CDTF">2026-07-15T02:25:00Z</dcterms:created>
  <dcterms:modified xsi:type="dcterms:W3CDTF">2026-07-15T15:05:00Z</dcterms:modified>
</cp:coreProperties>
</file>